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54" w:rsidRDefault="00C35B54"/>
    <w:p w:rsidR="004F3F6A" w:rsidRPr="004F3F6A" w:rsidRDefault="004F3F6A" w:rsidP="004F3F6A">
      <w:pPr>
        <w:widowControl w:val="0"/>
        <w:pBdr>
          <w:bottom w:val="single" w:sz="4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spacing w:val="60"/>
          <w:sz w:val="18"/>
          <w:szCs w:val="18"/>
          <w:lang w:eastAsia="ar-SA"/>
        </w:rPr>
      </w:pPr>
      <w:r w:rsidRPr="004F3F6A">
        <w:rPr>
          <w:rFonts w:ascii="Verdana" w:eastAsia="Times New Roman" w:hAnsi="Verdana" w:cs="Verdana"/>
          <w:spacing w:val="60"/>
          <w:sz w:val="18"/>
          <w:szCs w:val="18"/>
          <w:lang w:eastAsia="ar-SA"/>
        </w:rPr>
        <w:t xml:space="preserve">                                             </w:t>
      </w:r>
    </w:p>
    <w:p w:rsidR="004F3F6A" w:rsidRPr="004F3F6A" w:rsidRDefault="004F3F6A" w:rsidP="004F3F6A">
      <w:pPr>
        <w:widowControl w:val="0"/>
        <w:pBdr>
          <w:bottom w:val="single" w:sz="4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spacing w:val="60"/>
          <w:sz w:val="18"/>
          <w:szCs w:val="18"/>
          <w:lang w:eastAsia="ar-SA"/>
        </w:rPr>
      </w:pPr>
      <w:r w:rsidRPr="004F3F6A">
        <w:rPr>
          <w:rFonts w:ascii="Verdana" w:eastAsia="Times New Roman" w:hAnsi="Verdana" w:cs="Verdana"/>
          <w:spacing w:val="60"/>
          <w:sz w:val="18"/>
          <w:szCs w:val="18"/>
          <w:lang w:eastAsia="ar-SA"/>
        </w:rPr>
        <w:t xml:space="preserve">                                          </w:t>
      </w:r>
      <w:r>
        <w:rPr>
          <w:rFonts w:ascii="Verdana" w:eastAsia="Times New Roman" w:hAnsi="Verdana" w:cs="Verdana"/>
          <w:spacing w:val="60"/>
          <w:sz w:val="18"/>
          <w:szCs w:val="18"/>
          <w:lang w:eastAsia="ar-SA"/>
        </w:rPr>
        <w:t xml:space="preserve">                 </w:t>
      </w:r>
      <w:r w:rsidRPr="004F3F6A">
        <w:rPr>
          <w:rFonts w:ascii="Verdana" w:eastAsia="Times New Roman" w:hAnsi="Verdana" w:cs="Verdana"/>
          <w:spacing w:val="60"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Verdana"/>
          <w:noProof/>
          <w:spacing w:val="60"/>
          <w:sz w:val="18"/>
          <w:szCs w:val="18"/>
          <w:lang w:eastAsia="cs-CZ"/>
        </w:rPr>
        <w:drawing>
          <wp:inline distT="0" distB="0" distL="0" distR="0">
            <wp:extent cx="828675" cy="628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6A">
        <w:rPr>
          <w:rFonts w:ascii="Verdana" w:eastAsia="Times New Roman" w:hAnsi="Verdana" w:cs="Verdana"/>
          <w:spacing w:val="60"/>
          <w:sz w:val="18"/>
          <w:szCs w:val="18"/>
          <w:lang w:eastAsia="ar-SA"/>
        </w:rPr>
        <w:t xml:space="preserve">     </w:t>
      </w:r>
    </w:p>
    <w:p w:rsidR="004F3F6A" w:rsidRPr="004F3F6A" w:rsidRDefault="004F3F6A" w:rsidP="004F3F6A">
      <w:pPr>
        <w:widowControl w:val="0"/>
        <w:pBdr>
          <w:bottom w:val="single" w:sz="4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spacing w:val="60"/>
          <w:sz w:val="18"/>
          <w:szCs w:val="18"/>
          <w:lang w:eastAsia="ar-SA"/>
        </w:rPr>
      </w:pPr>
    </w:p>
    <w:p w:rsidR="004F3F6A" w:rsidRPr="004F3F6A" w:rsidRDefault="002548D0" w:rsidP="004F3F6A">
      <w:pPr>
        <w:widowControl w:val="0"/>
        <w:pBdr>
          <w:bottom w:val="single" w:sz="4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spacing w:val="60"/>
          <w:sz w:val="18"/>
          <w:szCs w:val="18"/>
          <w:lang w:eastAsia="ar-SA"/>
        </w:rPr>
        <w:t>Tisková zpráva 7. 1. 2016</w:t>
      </w:r>
    </w:p>
    <w:p w:rsidR="004F3F6A" w:rsidRDefault="004F3F6A"/>
    <w:p w:rsidR="004F3F6A" w:rsidRPr="004F3F6A" w:rsidRDefault="004F3F6A" w:rsidP="004F3F6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F3F6A">
        <w:rPr>
          <w:rFonts w:ascii="Calibri" w:eastAsia="Calibri" w:hAnsi="Calibri" w:cs="Times New Roman"/>
          <w:sz w:val="24"/>
          <w:szCs w:val="24"/>
        </w:rPr>
        <w:t>Obezita dětí nás stále straší</w:t>
      </w:r>
    </w:p>
    <w:p w:rsidR="004F3F6A" w:rsidRPr="004F3F6A" w:rsidRDefault="004F3F6A" w:rsidP="004F3F6A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4F3F6A">
        <w:rPr>
          <w:rFonts w:ascii="Calibri" w:eastAsia="Calibri" w:hAnsi="Calibri" w:cs="Times New Roman"/>
          <w:b/>
        </w:rPr>
        <w:t>Třetina chlapců a čtvrtina žáků základních škol má v těle více tuku, než je doporučováno, odpovídají tomu i počty žáků s vyšším BMI (indexem tělesné hmotnosti). To a mnohé další skutečnosti ukázal projekt Prevence a včasný záchyt dětské obezity, probíhajíc</w:t>
      </w:r>
      <w:r w:rsidR="00B53DB4">
        <w:rPr>
          <w:rFonts w:ascii="Calibri" w:eastAsia="Calibri" w:hAnsi="Calibri" w:cs="Times New Roman"/>
          <w:b/>
        </w:rPr>
        <w:t>í koncem loňského r</w:t>
      </w:r>
      <w:r w:rsidRPr="004F3F6A">
        <w:rPr>
          <w:rFonts w:ascii="Calibri" w:eastAsia="Calibri" w:hAnsi="Calibri" w:cs="Times New Roman"/>
          <w:b/>
        </w:rPr>
        <w:t xml:space="preserve">oku. Až z 80 % si přitom děti trpící nadváhou a obezitou přináší svá nadměrná kila do dospělosti. K ní se pak velmi často přidružují další onemocnění, která nejen život znepříjemňují, ale také zkracují. Obezita dětí je přitom v České republice stále na vzestupu. Odborníci se shodují na tom, že velký podíl viny na tomto stavu má nedostatečná pohybová aktivita, neaktivní trávení volného času a tomu nepřizpůsobený jídelníček. </w:t>
      </w:r>
    </w:p>
    <w:p w:rsidR="004F3F6A" w:rsidRPr="004F3F6A" w:rsidRDefault="00DF7C2D" w:rsidP="004F3F6A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2005959" cy="1332000"/>
            <wp:effectExtent l="0" t="0" r="0" b="1905"/>
            <wp:wrapTight wrapText="bothSides">
              <wp:wrapPolygon edited="0">
                <wp:start x="0" y="0"/>
                <wp:lineTo x="0" y="21322"/>
                <wp:lineTo x="21340" y="21322"/>
                <wp:lineTo x="21340" y="0"/>
                <wp:lineTo x="0" y="0"/>
              </wp:wrapPolygon>
            </wp:wrapTight>
            <wp:docPr id="3" name="Obrázek 3" descr="C:\Users\user\Documents\Cammino\Centrum prevence\2016\Foto\FOTO 3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Cammino\Centrum prevence\2016\Foto\FOTO 3 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59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6A" w:rsidRPr="004F3F6A">
        <w:rPr>
          <w:rFonts w:ascii="Calibri" w:eastAsia="Calibri" w:hAnsi="Calibri" w:cs="Times New Roman"/>
        </w:rPr>
        <w:t xml:space="preserve">Na konci loňského roku proběhl na 4 pražských </w:t>
      </w:r>
      <w:r w:rsidR="000A3238">
        <w:rPr>
          <w:rFonts w:ascii="Calibri" w:eastAsia="Calibri" w:hAnsi="Calibri" w:cs="Times New Roman"/>
        </w:rPr>
        <w:t xml:space="preserve">základních </w:t>
      </w:r>
      <w:r w:rsidR="004F3F6A" w:rsidRPr="004F3F6A">
        <w:rPr>
          <w:rFonts w:ascii="Calibri" w:eastAsia="Calibri" w:hAnsi="Calibri" w:cs="Times New Roman"/>
        </w:rPr>
        <w:t xml:space="preserve">školách projekt, který se věnoval prevenci dětské obezity a měl upozornit i </w:t>
      </w:r>
      <w:r w:rsidR="004118F0">
        <w:rPr>
          <w:rFonts w:ascii="Calibri" w:eastAsia="Calibri" w:hAnsi="Calibri" w:cs="Times New Roman"/>
        </w:rPr>
        <w:t xml:space="preserve">na </w:t>
      </w:r>
      <w:r w:rsidR="004F3F6A" w:rsidRPr="004F3F6A">
        <w:rPr>
          <w:rFonts w:ascii="Calibri" w:eastAsia="Calibri" w:hAnsi="Calibri" w:cs="Times New Roman"/>
        </w:rPr>
        <w:t xml:space="preserve">další závažná zdravotní rizika s obezitou spojená. Navazoval na velmi úspěšný pilotní projekt realizovaný v loňském školním roce. Výsledky toho aktuálního </w:t>
      </w:r>
      <w:r w:rsidR="004118F0">
        <w:rPr>
          <w:rFonts w:ascii="Calibri" w:eastAsia="Calibri" w:hAnsi="Calibri" w:cs="Times New Roman"/>
        </w:rPr>
        <w:t xml:space="preserve">projektu </w:t>
      </w:r>
      <w:r w:rsidR="004F3F6A" w:rsidRPr="004F3F6A">
        <w:rPr>
          <w:rFonts w:ascii="Calibri" w:eastAsia="Calibri" w:hAnsi="Calibri" w:cs="Times New Roman"/>
        </w:rPr>
        <w:t xml:space="preserve">potvrdily téměř beze zbytku již zjištěné skutečnosti. Projekt realizovalo Centrum prevence, z. </w:t>
      </w:r>
      <w:proofErr w:type="gramStart"/>
      <w:r w:rsidR="004F3F6A" w:rsidRPr="004F3F6A">
        <w:rPr>
          <w:rFonts w:ascii="Calibri" w:eastAsia="Calibri" w:hAnsi="Calibri" w:cs="Times New Roman"/>
        </w:rPr>
        <w:t>s.</w:t>
      </w:r>
      <w:proofErr w:type="gramEnd"/>
      <w:r w:rsidR="004F3F6A" w:rsidRPr="004F3F6A">
        <w:rPr>
          <w:rFonts w:ascii="Calibri" w:eastAsia="Calibri" w:hAnsi="Calibri" w:cs="Times New Roman"/>
        </w:rPr>
        <w:t>, za finanční podpory Ministerstva zdravotnictví České republiky. Odborně projekt podporovalo Poradenské centrum Výživa dětí.</w:t>
      </w:r>
    </w:p>
    <w:p w:rsidR="004F3F6A" w:rsidRPr="004F3F6A" w:rsidRDefault="004F3F6A" w:rsidP="004F3F6A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F3F6A">
        <w:rPr>
          <w:rFonts w:ascii="Calibri" w:eastAsia="Calibri" w:hAnsi="Calibri" w:cs="Times New Roman"/>
        </w:rPr>
        <w:t>„Projekt byl realizován prostřednictvím besed se žáky na téma výživa a pohybová aktivita</w:t>
      </w:r>
      <w:r w:rsidR="000A3238">
        <w:rPr>
          <w:rFonts w:ascii="Calibri" w:eastAsia="Calibri" w:hAnsi="Calibri" w:cs="Times New Roman"/>
        </w:rPr>
        <w:t>, celkem se přednášek účastnilo bezmála 1 900 žáků ZŠ</w:t>
      </w:r>
      <w:r w:rsidRPr="004F3F6A">
        <w:rPr>
          <w:rFonts w:ascii="Calibri" w:eastAsia="Calibri" w:hAnsi="Calibri" w:cs="Times New Roman"/>
        </w:rPr>
        <w:t xml:space="preserve">“, uvádí Marie Bahenská, projektová manažerka Centra prevence, z. </w:t>
      </w:r>
      <w:proofErr w:type="gramStart"/>
      <w:r w:rsidRPr="004F3F6A">
        <w:rPr>
          <w:rFonts w:ascii="Calibri" w:eastAsia="Calibri" w:hAnsi="Calibri" w:cs="Times New Roman"/>
        </w:rPr>
        <w:t>s.</w:t>
      </w:r>
      <w:proofErr w:type="gramEnd"/>
      <w:r w:rsidRPr="004F3F6A">
        <w:rPr>
          <w:rFonts w:ascii="Calibri" w:eastAsia="Calibri" w:hAnsi="Calibri" w:cs="Times New Roman"/>
        </w:rPr>
        <w:t>, a dodává: „pro komplexnost byl součástí projektu i dotazníkový průzkum mezi žáky a měření tělesného složení.“</w:t>
      </w:r>
    </w:p>
    <w:p w:rsidR="004F3F6A" w:rsidRPr="004F3F6A" w:rsidRDefault="004118F0" w:rsidP="004F3F6A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Tohoto měření </w:t>
      </w:r>
      <w:r w:rsidR="004F3F6A" w:rsidRPr="004F3F6A">
        <w:rPr>
          <w:rFonts w:ascii="Calibri" w:eastAsia="Calibri" w:hAnsi="Calibri" w:cs="Times New Roman"/>
        </w:rPr>
        <w:t>se zúčastnilo celkem 615 žáků prvního i druhého stupně. Měřilo se množství tělesného tuku, BMI a stupeň obezity v oblasti břicha. S vyšším množstvím tělesného tuku než je doporučováno, a tedy všemi úskalími z toho vyplývajícími, se potýká 36% chlapců prvního stupně a 33% chlapců 2. stupně. U dívek měla optimální množství tuku v těle zhruba polovina (nejvyšší počet byl u dívek ve věku 10-12 let) a zhruba čtvrtina dívek měla hodnoty vyšší (nejvíce dívky ve věku 8-10 let, a to ve 29 % případů). Dle zjištěného BMI se se zvýšenou či nadměrnou hmotností vzhledem ke svému věku potýká 28 % dívek a 34 % chlapců.</w:t>
      </w:r>
    </w:p>
    <w:p w:rsidR="00434D20" w:rsidRDefault="00434D20" w:rsidP="004F3F6A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9525</wp:posOffset>
            </wp:positionV>
            <wp:extent cx="215582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77" y="21438"/>
                <wp:lineTo x="21377" y="0"/>
                <wp:lineTo x="0" y="0"/>
              </wp:wrapPolygon>
            </wp:wrapTight>
            <wp:docPr id="5" name="Obrázek 5" descr="C:\Users\user\Documents\Cammino\Centrum prevence\2016\Foto\m_MG_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Cammino\Centrum prevence\2016\Foto\m_MG_27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6A" w:rsidRPr="004F3F6A">
        <w:rPr>
          <w:rFonts w:ascii="Calibri" w:eastAsia="Calibri" w:hAnsi="Calibri" w:cs="Times New Roman"/>
        </w:rPr>
        <w:t>V rámci 32 besed diskutovali žáci s odborníky o správné životosprávě, zejména o stravování a pohybové aktivitě. Besedy trvaly jednu vyučovací hodinu a byly svým obsahem přizpůsobeny věku žáků. „Opět se nám potvrdilo, že žáci nižších ročníků jsou na tom s některými zásadami daleko lépe než jejich starší spolužáci,“ uvádí Věra Boháčová, nutriční terapeutka, která si dětmi o výživě povídala.</w:t>
      </w:r>
    </w:p>
    <w:p w:rsidR="004F3F6A" w:rsidRPr="004F3F6A" w:rsidRDefault="004F3F6A" w:rsidP="004F3F6A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F3F6A">
        <w:rPr>
          <w:rFonts w:ascii="Calibri" w:eastAsia="Calibri" w:hAnsi="Calibri" w:cs="Times New Roman"/>
        </w:rPr>
        <w:t xml:space="preserve"> „Zatímco žáci nejnižších ročníků pravidelně snída</w:t>
      </w:r>
      <w:r w:rsidR="004C1286">
        <w:rPr>
          <w:rFonts w:ascii="Calibri" w:eastAsia="Calibri" w:hAnsi="Calibri" w:cs="Times New Roman"/>
        </w:rPr>
        <w:t>jí</w:t>
      </w:r>
      <w:r w:rsidRPr="004F3F6A">
        <w:rPr>
          <w:rFonts w:ascii="Calibri" w:eastAsia="Calibri" w:hAnsi="Calibri" w:cs="Times New Roman"/>
        </w:rPr>
        <w:t xml:space="preserve"> a nosí si do školy svačiny, s přibývajícím věkem jsou počty žáků pravidelně snídajících a svačících čím dál nižší</w:t>
      </w:r>
      <w:r w:rsidR="004C1286">
        <w:rPr>
          <w:rFonts w:ascii="Calibri" w:eastAsia="Calibri" w:hAnsi="Calibri" w:cs="Times New Roman"/>
        </w:rPr>
        <w:t>. I</w:t>
      </w:r>
      <w:r w:rsidRPr="004F3F6A">
        <w:rPr>
          <w:rFonts w:ascii="Calibri" w:eastAsia="Calibri" w:hAnsi="Calibri" w:cs="Times New Roman"/>
        </w:rPr>
        <w:t>nformovanost dětí o tom, jak by správná životospráva měla vypadat a co pro naše zdraví znamená, je ale poměrně dobrá„ dodává Boháčová. Její slova potvrzuje i další z odborníků, RNDr. Pavel Suchánek: „u starších děti se projevují jiné priority, než je pravidelná pohybová aktivita, kterou můžeme často pozorovat u dětí prvního stupně</w:t>
      </w:r>
      <w:r w:rsidR="00BE09DF">
        <w:rPr>
          <w:rFonts w:ascii="Calibri" w:eastAsia="Calibri" w:hAnsi="Calibri" w:cs="Times New Roman"/>
        </w:rPr>
        <w:t>. P</w:t>
      </w:r>
      <w:r w:rsidRPr="004F3F6A">
        <w:rPr>
          <w:rFonts w:ascii="Calibri" w:eastAsia="Calibri" w:hAnsi="Calibri" w:cs="Times New Roman"/>
        </w:rPr>
        <w:t xml:space="preserve">řitom nedostatek pohybové aktivity je jedním ze zásadních rizikových faktorů dětské obezity </w:t>
      </w:r>
      <w:r>
        <w:rPr>
          <w:rFonts w:ascii="Calibri" w:eastAsia="Calibri" w:hAnsi="Calibri" w:cs="Times New Roman"/>
        </w:rPr>
        <w:t xml:space="preserve">a </w:t>
      </w:r>
      <w:r w:rsidRPr="004F3F6A">
        <w:rPr>
          <w:rFonts w:ascii="Calibri" w:eastAsia="Calibri" w:hAnsi="Calibri" w:cs="Times New Roman"/>
        </w:rPr>
        <w:t>přidružených zdravotních problémů.“ Je to jistě problematika, která by si zasloužila nějaké koncepční řešení na vyšší úrovni“, dodává Suchánek.</w:t>
      </w:r>
    </w:p>
    <w:p w:rsidR="00434D20" w:rsidRDefault="00434D20" w:rsidP="004F3F6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415415" cy="2123440"/>
            <wp:effectExtent l="0" t="0" r="0" b="0"/>
            <wp:wrapTight wrapText="bothSides">
              <wp:wrapPolygon edited="0">
                <wp:start x="0" y="0"/>
                <wp:lineTo x="0" y="21316"/>
                <wp:lineTo x="21222" y="21316"/>
                <wp:lineTo x="21222" y="0"/>
                <wp:lineTo x="0" y="0"/>
              </wp:wrapPolygon>
            </wp:wrapTight>
            <wp:docPr id="4" name="Obrázek 4" descr="C:\Users\user\Documents\Cammino\Centrum prevence\2016\Foto\m F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Cammino\Centrum prevence\2016\Foto\m FOTO 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6A" w:rsidRPr="004F3F6A">
        <w:rPr>
          <w:rFonts w:ascii="Calibri" w:eastAsia="Calibri" w:hAnsi="Calibri" w:cs="Times New Roman"/>
          <w:sz w:val="24"/>
          <w:szCs w:val="24"/>
        </w:rPr>
        <w:t xml:space="preserve">Dotazníkový průzkum, kterého se v rámci projektu zúčastnilo </w:t>
      </w:r>
      <w:r w:rsidR="000A3238">
        <w:rPr>
          <w:rFonts w:ascii="Calibri" w:eastAsia="Calibri" w:hAnsi="Calibri" w:cs="Times New Roman"/>
          <w:sz w:val="24"/>
          <w:szCs w:val="24"/>
        </w:rPr>
        <w:t xml:space="preserve">641 </w:t>
      </w:r>
      <w:r w:rsidR="004F3F6A" w:rsidRPr="004F3F6A">
        <w:rPr>
          <w:rFonts w:ascii="Calibri" w:eastAsia="Calibri" w:hAnsi="Calibri" w:cs="Times New Roman"/>
          <w:sz w:val="24"/>
          <w:szCs w:val="24"/>
        </w:rPr>
        <w:t xml:space="preserve">respondentů </w:t>
      </w:r>
      <w:r w:rsidR="000A3238">
        <w:rPr>
          <w:rFonts w:ascii="Calibri" w:eastAsia="Calibri" w:hAnsi="Calibri" w:cs="Times New Roman"/>
          <w:sz w:val="24"/>
          <w:szCs w:val="24"/>
        </w:rPr>
        <w:t xml:space="preserve">(žáků 2. stupně ZŠ) </w:t>
      </w:r>
      <w:r w:rsidR="004F3F6A" w:rsidRPr="004F3F6A">
        <w:rPr>
          <w:rFonts w:ascii="Calibri" w:eastAsia="Calibri" w:hAnsi="Calibri" w:cs="Times New Roman"/>
          <w:sz w:val="24"/>
          <w:szCs w:val="24"/>
        </w:rPr>
        <w:t xml:space="preserve">také </w:t>
      </w:r>
      <w:r w:rsidR="000A3238">
        <w:rPr>
          <w:rFonts w:ascii="Calibri" w:eastAsia="Calibri" w:hAnsi="Calibri" w:cs="Times New Roman"/>
          <w:sz w:val="24"/>
          <w:szCs w:val="24"/>
        </w:rPr>
        <w:t>ukázal</w:t>
      </w:r>
      <w:r w:rsidR="004F3F6A" w:rsidRPr="004F3F6A">
        <w:rPr>
          <w:rFonts w:ascii="Calibri" w:eastAsia="Calibri" w:hAnsi="Calibri" w:cs="Times New Roman"/>
          <w:sz w:val="24"/>
          <w:szCs w:val="24"/>
        </w:rPr>
        <w:t>, že děti mají povědomí o zdravém životním stylu a uvědomují si, že je ve většině případů co zlepšovat. Své možnosti vidí přitom hlavně v oblasti jídelníčku a pohybu. Průzkum ukázal, že dopolední jídelníček je nedílnou součástí životního stylu většiny školáků – i v </w:t>
      </w:r>
      <w:r w:rsidR="00BE09DF">
        <w:rPr>
          <w:rFonts w:ascii="Calibri" w:eastAsia="Calibri" w:hAnsi="Calibri" w:cs="Times New Roman"/>
          <w:sz w:val="24"/>
          <w:szCs w:val="24"/>
        </w:rPr>
        <w:t>případě, že chybí snídaně (snídají</w:t>
      </w:r>
      <w:r w:rsidR="004F3F6A" w:rsidRPr="004F3F6A">
        <w:rPr>
          <w:rFonts w:ascii="Calibri" w:eastAsia="Calibri" w:hAnsi="Calibri" w:cs="Times New Roman"/>
          <w:sz w:val="24"/>
          <w:szCs w:val="24"/>
        </w:rPr>
        <w:t xml:space="preserve"> nepravidelně nebo nesníd</w:t>
      </w:r>
      <w:r w:rsidR="00BE09DF">
        <w:rPr>
          <w:rFonts w:ascii="Calibri" w:eastAsia="Calibri" w:hAnsi="Calibri" w:cs="Times New Roman"/>
          <w:sz w:val="24"/>
          <w:szCs w:val="24"/>
        </w:rPr>
        <w:t>ají</w:t>
      </w:r>
      <w:r w:rsidR="004E7B1F">
        <w:rPr>
          <w:rFonts w:ascii="Calibri" w:eastAsia="Calibri" w:hAnsi="Calibri" w:cs="Times New Roman"/>
          <w:sz w:val="24"/>
          <w:szCs w:val="24"/>
        </w:rPr>
        <w:t xml:space="preserve"> vůbec 2/5</w:t>
      </w:r>
      <w:r w:rsidR="004F3F6A" w:rsidRPr="004F3F6A">
        <w:rPr>
          <w:rFonts w:ascii="Calibri" w:eastAsia="Calibri" w:hAnsi="Calibri" w:cs="Times New Roman"/>
          <w:sz w:val="24"/>
          <w:szCs w:val="24"/>
        </w:rPr>
        <w:t xml:space="preserve"> žáků)</w:t>
      </w:r>
      <w:r w:rsidR="00BE09DF">
        <w:rPr>
          <w:rFonts w:ascii="Calibri" w:eastAsia="Calibri" w:hAnsi="Calibri" w:cs="Times New Roman"/>
          <w:sz w:val="24"/>
          <w:szCs w:val="24"/>
        </w:rPr>
        <w:t>,</w:t>
      </w:r>
      <w:r w:rsidR="004F3F6A" w:rsidRPr="004F3F6A">
        <w:rPr>
          <w:rFonts w:ascii="Calibri" w:eastAsia="Calibri" w:hAnsi="Calibri" w:cs="Times New Roman"/>
          <w:sz w:val="24"/>
          <w:szCs w:val="24"/>
        </w:rPr>
        <w:t xml:space="preserve"> svačina ji nahrazuje. Pravidelně svačí 67 % žáků, a to nejčastěji pečivo, šunku, tvrdý sýr, ovoce, zeleninu, jejich nedílnou součástí je i dostatek tekutin. Nejčastěji jsou to voda, neochucené minerálky nebo voda se šťávou. </w:t>
      </w:r>
    </w:p>
    <w:p w:rsidR="004F3F6A" w:rsidRPr="004F3F6A" w:rsidRDefault="004F3F6A" w:rsidP="004F3F6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F3F6A">
        <w:rPr>
          <w:rFonts w:ascii="Calibri" w:eastAsia="Calibri" w:hAnsi="Calibri" w:cs="Times New Roman"/>
          <w:sz w:val="24"/>
          <w:szCs w:val="24"/>
        </w:rPr>
        <w:t xml:space="preserve">Nezanedbatelnou součást svačin je ale také sladké pečivo (nosí si ho 26 % svačících), což už tak pozitivně hodnotit nemůžeme. </w:t>
      </w:r>
      <w:r w:rsidR="004E7B1F">
        <w:rPr>
          <w:rFonts w:ascii="Calibri" w:eastAsia="Calibri" w:hAnsi="Calibri" w:cs="Times New Roman"/>
          <w:sz w:val="24"/>
          <w:szCs w:val="24"/>
        </w:rPr>
        <w:t>Vzhledem k tomu, že se 2/3</w:t>
      </w:r>
      <w:r w:rsidRPr="004F3F6A">
        <w:rPr>
          <w:rFonts w:ascii="Calibri" w:eastAsia="Calibri" w:hAnsi="Calibri" w:cs="Times New Roman"/>
          <w:sz w:val="24"/>
          <w:szCs w:val="24"/>
        </w:rPr>
        <w:t xml:space="preserve"> dětí stravují ve školní jídelně, i obědy splňují normy pro dětské stravování. A i když fast foody nejsou pro děti tabu, většino</w:t>
      </w:r>
      <w:r w:rsidR="004E7B1F">
        <w:rPr>
          <w:rFonts w:ascii="Calibri" w:eastAsia="Calibri" w:hAnsi="Calibri" w:cs="Times New Roman"/>
          <w:sz w:val="24"/>
          <w:szCs w:val="24"/>
        </w:rPr>
        <w:t>u nepatří mezi jejich časté</w:t>
      </w:r>
      <w:r w:rsidRPr="004F3F6A">
        <w:rPr>
          <w:rFonts w:ascii="Calibri" w:eastAsia="Calibri" w:hAnsi="Calibri" w:cs="Times New Roman"/>
          <w:sz w:val="24"/>
          <w:szCs w:val="24"/>
        </w:rPr>
        <w:t xml:space="preserve"> návštěvníky. Pravidelnou pohybovou aktivitu uvedla většina žáků, ale zejména v diskusích s odborníky, byly patrné rozdíly v jednotlivých věkových kategoriích. „Nebaví mě to“ byl hlavní uvedený důvod u těch, kter</w:t>
      </w:r>
      <w:r>
        <w:rPr>
          <w:rFonts w:ascii="Calibri" w:eastAsia="Calibri" w:hAnsi="Calibri" w:cs="Times New Roman"/>
          <w:sz w:val="24"/>
          <w:szCs w:val="24"/>
        </w:rPr>
        <w:t>é</w:t>
      </w:r>
      <w:r w:rsidRPr="004F3F6A">
        <w:rPr>
          <w:rFonts w:ascii="Calibri" w:eastAsia="Calibri" w:hAnsi="Calibri" w:cs="Times New Roman"/>
          <w:sz w:val="24"/>
          <w:szCs w:val="24"/>
        </w:rPr>
        <w:t xml:space="preserve"> nesportují vůbec.</w:t>
      </w:r>
    </w:p>
    <w:p w:rsidR="004F3F6A" w:rsidRPr="004F3F6A" w:rsidRDefault="004F3F6A" w:rsidP="004F3F6A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F3F6A">
        <w:rPr>
          <w:rFonts w:ascii="Calibri" w:eastAsia="Calibri" w:hAnsi="Calibri" w:cs="Times New Roman"/>
        </w:rPr>
        <w:t xml:space="preserve"> „Věříme, že projekt budeme moci realizovat i nadále, neboť je zřejmé, že osvěta v problematice obezity a s</w:t>
      </w:r>
      <w:r w:rsidR="00512B85">
        <w:rPr>
          <w:rFonts w:ascii="Calibri" w:eastAsia="Calibri" w:hAnsi="Calibri" w:cs="Times New Roman"/>
        </w:rPr>
        <w:t xml:space="preserve"> </w:t>
      </w:r>
      <w:r w:rsidRPr="004F3F6A">
        <w:rPr>
          <w:rFonts w:ascii="Calibri" w:eastAsia="Calibri" w:hAnsi="Calibri" w:cs="Times New Roman"/>
        </w:rPr>
        <w:t>ní spojených dalších zdravotních rizik je a bude tématem aktuálním“, uzavírá Marie Bahenská, manažerka projektu.</w:t>
      </w:r>
    </w:p>
    <w:p w:rsidR="004F3F6A" w:rsidRDefault="000A3238" w:rsidP="004F3F6A">
      <w:pPr>
        <w:spacing w:after="160" w:line="259" w:lineRule="auto"/>
        <w:rPr>
          <w:rFonts w:ascii="Calibri" w:eastAsia="Calibri" w:hAnsi="Calibri" w:cs="Times New Roman"/>
          <w:color w:val="0563C1"/>
          <w:u w:val="single"/>
        </w:rPr>
      </w:pPr>
      <w:r>
        <w:rPr>
          <w:rFonts w:ascii="Calibri" w:eastAsia="Calibri" w:hAnsi="Calibri" w:cs="Times New Roman"/>
        </w:rPr>
        <w:t>Další informace jsou</w:t>
      </w:r>
      <w:r w:rsidR="004F3F6A" w:rsidRPr="004F3F6A">
        <w:rPr>
          <w:rFonts w:ascii="Calibri" w:eastAsia="Calibri" w:hAnsi="Calibri" w:cs="Times New Roman"/>
        </w:rPr>
        <w:t xml:space="preserve"> k dispozici na </w:t>
      </w:r>
      <w:hyperlink r:id="rId8" w:history="1">
        <w:r w:rsidR="004F3F6A" w:rsidRPr="004F3F6A">
          <w:rPr>
            <w:rFonts w:ascii="Calibri" w:eastAsia="Calibri" w:hAnsi="Calibri" w:cs="Times New Roman"/>
            <w:color w:val="0563C1"/>
            <w:u w:val="single"/>
          </w:rPr>
          <w:t>www.centrumprevence.cz</w:t>
        </w:r>
      </w:hyperlink>
      <w:bookmarkStart w:id="0" w:name="_GoBack"/>
      <w:bookmarkEnd w:id="0"/>
    </w:p>
    <w:sectPr w:rsidR="004F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6A"/>
    <w:rsid w:val="000A3238"/>
    <w:rsid w:val="002548D0"/>
    <w:rsid w:val="004118F0"/>
    <w:rsid w:val="00434D20"/>
    <w:rsid w:val="004C1286"/>
    <w:rsid w:val="004E7B1F"/>
    <w:rsid w:val="004F3F6A"/>
    <w:rsid w:val="00512B85"/>
    <w:rsid w:val="00532C84"/>
    <w:rsid w:val="0086008A"/>
    <w:rsid w:val="009D1F84"/>
    <w:rsid w:val="00B53DB4"/>
    <w:rsid w:val="00BE09DF"/>
    <w:rsid w:val="00C35B54"/>
    <w:rsid w:val="00DF7C2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38AD-486B-42AD-9FF5-FB6662B4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reven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Bahenská</cp:lastModifiedBy>
  <cp:revision>2</cp:revision>
  <dcterms:created xsi:type="dcterms:W3CDTF">2016-01-06T18:14:00Z</dcterms:created>
  <dcterms:modified xsi:type="dcterms:W3CDTF">2016-01-06T18:14:00Z</dcterms:modified>
</cp:coreProperties>
</file>